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3"/>
        <w:gridCol w:w="6265"/>
      </w:tblGrid>
      <w:tr w:rsidR="00F12905" w14:paraId="72194B03" w14:textId="77777777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102E"/>
            <w:tcMar>
              <w:top w:w="200" w:type="dxa"/>
              <w:left w:w="240" w:type="dxa"/>
              <w:bottom w:w="200" w:type="dxa"/>
              <w:right w:w="240" w:type="dxa"/>
            </w:tcMar>
            <w:vAlign w:val="center"/>
          </w:tcPr>
          <w:p w14:paraId="25610912" w14:textId="77777777" w:rsidR="00F12905" w:rsidRDefault="00226A34">
            <w:r>
              <w:rPr>
                <w:b/>
                <w:bCs/>
                <w:color w:val="FFFFFF"/>
                <w:sz w:val="36"/>
                <w:szCs w:val="36"/>
              </w:rPr>
              <w:t>Risk Assessment Guidance</w:t>
            </w:r>
          </w:p>
        </w:tc>
        <w:tc>
          <w:tcPr>
            <w:tcW w:w="62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E8EB"/>
            <w:tcMar>
              <w:top w:w="200" w:type="dxa"/>
              <w:left w:w="240" w:type="dxa"/>
              <w:bottom w:w="200" w:type="dxa"/>
              <w:right w:w="240" w:type="dxa"/>
            </w:tcMar>
            <w:vAlign w:val="center"/>
          </w:tcPr>
          <w:p w14:paraId="16A5CF95" w14:textId="77777777" w:rsidR="00F12905" w:rsidRDefault="00226A34">
            <w:r>
              <w:rPr>
                <w:color w:val="9E0D24"/>
                <w:sz w:val="20"/>
                <w:szCs w:val="20"/>
              </w:rPr>
              <w:t>How to complete your risk assessment for campaign activities</w:t>
            </w:r>
          </w:p>
        </w:tc>
      </w:tr>
    </w:tbl>
    <w:p w14:paraId="4F5FA1A8" w14:textId="77777777" w:rsidR="00F12905" w:rsidRDefault="00F12905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12905" w14:paraId="28E29737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DEDBD5"/>
              <w:left w:val="single" w:sz="18" w:space="0" w:color="C8102E"/>
              <w:bottom w:val="single" w:sz="1" w:space="0" w:color="DEDBD5"/>
              <w:right w:val="none" w:sz="0" w:space="0" w:color="FFFFFF"/>
            </w:tcBorders>
            <w:shd w:val="clear" w:color="auto" w:fill="FDF5F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2C995B5" w14:textId="77777777" w:rsidR="00F12905" w:rsidRDefault="00226A34">
            <w:pPr>
              <w:spacing w:before="30" w:after="30"/>
            </w:pPr>
            <w:r>
              <w:rPr>
                <w:b/>
                <w:bCs/>
                <w:color w:val="9E0D24"/>
                <w:sz w:val="20"/>
                <w:szCs w:val="20"/>
              </w:rPr>
              <w:t>Every campaign activity that takes place on campus (or off campus with MDXSU involvement) requires a completed risk assessment.</w:t>
            </w:r>
          </w:p>
          <w:p w14:paraId="2A80F4E8" w14:textId="77777777" w:rsidR="00F12905" w:rsidRDefault="00226A34">
            <w:pPr>
              <w:spacing w:before="30" w:after="30"/>
            </w:pPr>
            <w:r>
              <w:rPr>
                <w:color w:val="5A5A5A"/>
                <w:sz w:val="20"/>
                <w:szCs w:val="20"/>
              </w:rPr>
              <w:t>This guidance will help you understand what a risk assessment is, why it matters, and how to fill one in. Complete the Risk Assessment Template document alongside this guidance.</w:t>
            </w:r>
          </w:p>
          <w:p w14:paraId="30402BF1" w14:textId="77777777" w:rsidR="00F12905" w:rsidRDefault="00226A34">
            <w:pPr>
              <w:spacing w:before="30" w:after="30"/>
            </w:pPr>
            <w:r>
              <w:rPr>
                <w:color w:val="5A5A5A"/>
                <w:sz w:val="20"/>
                <w:szCs w:val="20"/>
              </w:rPr>
              <w:t>Email your completed risk assessment to studentvoice@mdx.ac.uk at least 5 working days before your activity.</w:t>
            </w:r>
          </w:p>
        </w:tc>
      </w:tr>
    </w:tbl>
    <w:p w14:paraId="17CFEA95" w14:textId="77777777" w:rsidR="00F12905" w:rsidRDefault="00F12905">
      <w:pPr>
        <w:spacing w:after="200"/>
      </w:pPr>
    </w:p>
    <w:p w14:paraId="1E670230" w14:textId="77777777" w:rsidR="00F12905" w:rsidRDefault="00226A34">
      <w:pPr>
        <w:pStyle w:val="Heading1"/>
      </w:pPr>
      <w:r>
        <w:t>What is a risk assessment?</w:t>
      </w:r>
    </w:p>
    <w:p w14:paraId="70CBBDC8" w14:textId="77777777" w:rsidR="00F12905" w:rsidRDefault="00226A34">
      <w:pPr>
        <w:spacing w:before="60" w:after="100"/>
      </w:pPr>
      <w:r>
        <w:t>A risk assessment is a process of identifying things that could go wrong during your campaign activity, thinking about how likely they are to happen, and putting measures in place to reduce or prevent them.</w:t>
      </w:r>
    </w:p>
    <w:p w14:paraId="533C9366" w14:textId="77777777" w:rsidR="00F12905" w:rsidRDefault="00226A34">
      <w:pPr>
        <w:spacing w:before="60" w:after="100"/>
      </w:pPr>
      <w:r>
        <w:t>It's not about being negative or assuming the worst — it's about being prepared. A good risk assessment actually makes your campaign stronger, because it shows MDXSU and the university that you've thought things through responsibly.</w:t>
      </w:r>
    </w:p>
    <w:p w14:paraId="55EF7FB4" w14:textId="77777777" w:rsidR="00F12905" w:rsidRDefault="00226A34">
      <w:pPr>
        <w:spacing w:before="60" w:after="100"/>
      </w:pPr>
      <w:r>
        <w:t>You need a risk assessment for any activity that involves:</w:t>
      </w:r>
    </w:p>
    <w:p w14:paraId="6002F973" w14:textId="77777777" w:rsidR="00F12905" w:rsidRDefault="00226A34">
      <w:pPr>
        <w:pStyle w:val="ListParagraph"/>
        <w:numPr>
          <w:ilvl w:val="0"/>
          <w:numId w:val="2"/>
        </w:numPr>
        <w:spacing w:before="40" w:after="40"/>
      </w:pPr>
      <w:r>
        <w:t>A physical event or stall on campus</w:t>
      </w:r>
    </w:p>
    <w:p w14:paraId="6D28A18B" w14:textId="77777777" w:rsidR="00F12905" w:rsidRDefault="00226A34">
      <w:pPr>
        <w:pStyle w:val="ListParagraph"/>
        <w:numPr>
          <w:ilvl w:val="0"/>
          <w:numId w:val="2"/>
        </w:numPr>
        <w:spacing w:before="40" w:after="40"/>
      </w:pPr>
      <w:r>
        <w:t>A protest, march, or demonstration</w:t>
      </w:r>
    </w:p>
    <w:p w14:paraId="4ACA397F" w14:textId="77777777" w:rsidR="00F12905" w:rsidRDefault="00226A34">
      <w:pPr>
        <w:pStyle w:val="ListParagraph"/>
        <w:numPr>
          <w:ilvl w:val="0"/>
          <w:numId w:val="2"/>
        </w:numPr>
        <w:spacing w:before="40" w:after="40"/>
      </w:pPr>
      <w:r>
        <w:t>An event off campus that MDXSU is supporting</w:t>
      </w:r>
    </w:p>
    <w:p w14:paraId="4B0C9B79" w14:textId="77777777" w:rsidR="00F12905" w:rsidRDefault="00226A34">
      <w:pPr>
        <w:pStyle w:val="ListParagraph"/>
        <w:numPr>
          <w:ilvl w:val="0"/>
          <w:numId w:val="2"/>
        </w:numPr>
        <w:spacing w:before="40" w:after="40"/>
      </w:pPr>
      <w:r>
        <w:t>Any activity involving members of the public</w:t>
      </w:r>
    </w:p>
    <w:p w14:paraId="3DB53EBC" w14:textId="77777777" w:rsidR="00F12905" w:rsidRDefault="00226A34">
      <w:pPr>
        <w:pStyle w:val="ListParagraph"/>
        <w:numPr>
          <w:ilvl w:val="0"/>
          <w:numId w:val="2"/>
        </w:numPr>
        <w:spacing w:before="40" w:after="40"/>
      </w:pPr>
      <w:r>
        <w:t>Any activity involving equipment, food, or catering</w:t>
      </w:r>
    </w:p>
    <w:p w14:paraId="6D347A9A" w14:textId="77777777" w:rsidR="00F12905" w:rsidRDefault="00226A34">
      <w:pPr>
        <w:pStyle w:val="ListParagraph"/>
        <w:numPr>
          <w:ilvl w:val="0"/>
          <w:numId w:val="2"/>
        </w:numPr>
        <w:spacing w:before="40" w:after="40"/>
      </w:pPr>
      <w:r>
        <w:t>Any activity where large numbers of people are expected</w:t>
      </w:r>
    </w:p>
    <w:p w14:paraId="11504AA7" w14:textId="77777777" w:rsidR="00F12905" w:rsidRDefault="00F12905">
      <w:pPr>
        <w:spacing w:after="200"/>
      </w:pPr>
    </w:p>
    <w:p w14:paraId="504CA0F0" w14:textId="77777777" w:rsidR="00F12905" w:rsidRDefault="00F12905">
      <w:pPr>
        <w:pBdr>
          <w:bottom w:val="single" w:sz="6" w:space="1" w:color="C8102E"/>
        </w:pBdr>
        <w:spacing w:before="200" w:after="200"/>
      </w:pPr>
    </w:p>
    <w:p w14:paraId="26C700D7" w14:textId="77777777" w:rsidR="00F12905" w:rsidRDefault="00226A34">
      <w:pPr>
        <w:pStyle w:val="Heading1"/>
      </w:pPr>
      <w:r>
        <w:t>How to complete a risk assessment — step by step</w:t>
      </w:r>
    </w:p>
    <w:p w14:paraId="3B77EFED" w14:textId="77777777" w:rsidR="00F12905" w:rsidRDefault="00226A34">
      <w:pPr>
        <w:pStyle w:val="Heading2"/>
      </w:pPr>
      <w:r>
        <w:t>Step 1: Describe the activity</w:t>
      </w:r>
    </w:p>
    <w:p w14:paraId="033C3D4E" w14:textId="77777777" w:rsidR="00F12905" w:rsidRDefault="00226A34">
      <w:pPr>
        <w:spacing w:before="60" w:after="100"/>
      </w:pPr>
      <w:r>
        <w:t>At the top of the Risk Assessment Template, briefly describe what you're planning. Include: what it is, where it's happening, when, and roughly how many people will be involved.</w:t>
      </w:r>
    </w:p>
    <w:p w14:paraId="39088385" w14:textId="77777777" w:rsidR="00F12905" w:rsidRDefault="00226A34">
      <w:pPr>
        <w:spacing w:before="60" w:after="100"/>
      </w:pPr>
      <w:r>
        <w:t>Example: 'A campaign stall in the Quad at Hendon campus on 12 March 2026, 11am–2pm. Approximately 50–100 students expected to pass through. We will have a banner, leaflets, and a petition.'</w:t>
      </w:r>
    </w:p>
    <w:p w14:paraId="16AA6947" w14:textId="77777777" w:rsidR="00F12905" w:rsidRDefault="00F12905">
      <w:pPr>
        <w:spacing w:after="60"/>
      </w:pPr>
    </w:p>
    <w:p w14:paraId="229578C0" w14:textId="77777777" w:rsidR="00F12905" w:rsidRDefault="00226A34">
      <w:pPr>
        <w:pStyle w:val="Heading2"/>
      </w:pPr>
      <w:r>
        <w:t>Step 2: Identify the hazards</w:t>
      </w:r>
    </w:p>
    <w:p w14:paraId="5B461AD1" w14:textId="77777777" w:rsidR="00F12905" w:rsidRDefault="00226A34">
      <w:pPr>
        <w:spacing w:before="60" w:after="100"/>
      </w:pPr>
      <w:r>
        <w:t>A hazard is anything that could potentially cause harm or disruption. Think about:</w:t>
      </w:r>
    </w:p>
    <w:p w14:paraId="2B7F9F31" w14:textId="77777777" w:rsidR="00F12905" w:rsidRDefault="00226A34">
      <w:pPr>
        <w:pStyle w:val="ListParagraph"/>
        <w:numPr>
          <w:ilvl w:val="0"/>
          <w:numId w:val="2"/>
        </w:numPr>
        <w:spacing w:before="40" w:after="40"/>
      </w:pPr>
      <w:r>
        <w:t>The physical environment (wet floors, uneven ground, crowding)</w:t>
      </w:r>
    </w:p>
    <w:p w14:paraId="5A0AD76B" w14:textId="77777777" w:rsidR="00F12905" w:rsidRDefault="00226A34">
      <w:pPr>
        <w:pStyle w:val="ListParagraph"/>
        <w:numPr>
          <w:ilvl w:val="0"/>
          <w:numId w:val="2"/>
        </w:numPr>
        <w:spacing w:before="40" w:after="40"/>
      </w:pPr>
      <w:r>
        <w:lastRenderedPageBreak/>
        <w:t>People (members of the public who disagree with your campaign, vulnerable attendees)</w:t>
      </w:r>
    </w:p>
    <w:p w14:paraId="6CF6FBAF" w14:textId="77777777" w:rsidR="00F12905" w:rsidRDefault="00226A34">
      <w:pPr>
        <w:pStyle w:val="ListParagraph"/>
        <w:numPr>
          <w:ilvl w:val="0"/>
          <w:numId w:val="2"/>
        </w:numPr>
        <w:spacing w:before="40" w:after="40"/>
      </w:pPr>
      <w:r>
        <w:t>Equipment or materials (banners, gazebos, electrical equipment)</w:t>
      </w:r>
    </w:p>
    <w:p w14:paraId="5A226448" w14:textId="77777777" w:rsidR="00F12905" w:rsidRDefault="00226A34">
      <w:pPr>
        <w:pStyle w:val="ListParagraph"/>
        <w:numPr>
          <w:ilvl w:val="0"/>
          <w:numId w:val="2"/>
        </w:numPr>
        <w:spacing w:before="40" w:after="40"/>
      </w:pPr>
      <w:r>
        <w:t>Weather (if outdoors)</w:t>
      </w:r>
    </w:p>
    <w:p w14:paraId="746DF3CC" w14:textId="77777777" w:rsidR="00F12905" w:rsidRDefault="00226A34">
      <w:pPr>
        <w:pStyle w:val="ListParagraph"/>
        <w:numPr>
          <w:ilvl w:val="0"/>
          <w:numId w:val="2"/>
        </w:numPr>
        <w:spacing w:before="40" w:after="40"/>
      </w:pPr>
      <w:r>
        <w:t>Social media or reputational risks</w:t>
      </w:r>
    </w:p>
    <w:p w14:paraId="392ECA8D" w14:textId="77777777" w:rsidR="00F12905" w:rsidRDefault="00226A34">
      <w:pPr>
        <w:spacing w:before="60" w:after="100"/>
      </w:pPr>
      <w:r>
        <w:t>For each hazard, write it in the Hazard column of the template.</w:t>
      </w:r>
    </w:p>
    <w:p w14:paraId="531D5D5C" w14:textId="77777777" w:rsidR="00F12905" w:rsidRDefault="00F12905">
      <w:pPr>
        <w:spacing w:after="60"/>
      </w:pPr>
    </w:p>
    <w:p w14:paraId="28937FF8" w14:textId="77777777" w:rsidR="00F12905" w:rsidRDefault="00226A34">
      <w:pPr>
        <w:pStyle w:val="Heading2"/>
      </w:pPr>
      <w:r>
        <w:t>Step 3: Assess the risk</w:t>
      </w:r>
    </w:p>
    <w:p w14:paraId="3DA11600" w14:textId="77777777" w:rsidR="00F12905" w:rsidRDefault="00226A34">
      <w:pPr>
        <w:spacing w:before="60" w:after="100"/>
      </w:pPr>
      <w:r>
        <w:t>For each hazard, assess how likely it is to happen and how serious the consequences would be. Use this simple scoring system:</w:t>
      </w:r>
    </w:p>
    <w:p w14:paraId="67D5CDB9" w14:textId="77777777" w:rsidR="00F12905" w:rsidRDefault="00F12905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4"/>
      </w:tblGrid>
      <w:tr w:rsidR="00F12905" w14:paraId="7F4F7368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shd w:val="clear" w:color="auto" w:fill="2C2C2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42163D" w14:textId="77777777" w:rsidR="00F12905" w:rsidRDefault="00226A34">
            <w:r>
              <w:rPr>
                <w:b/>
                <w:bCs/>
                <w:color w:val="FFFFFF"/>
                <w:sz w:val="20"/>
                <w:szCs w:val="20"/>
              </w:rPr>
              <w:t>Likelihood (1–3)</w:t>
            </w:r>
          </w:p>
        </w:tc>
        <w:tc>
          <w:tcPr>
            <w:tcW w:w="3212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shd w:val="clear" w:color="auto" w:fill="2C2C2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5BE871" w14:textId="77777777" w:rsidR="00F12905" w:rsidRDefault="00226A34">
            <w:r>
              <w:rPr>
                <w:b/>
                <w:bCs/>
                <w:color w:val="FFFFFF"/>
                <w:sz w:val="20"/>
                <w:szCs w:val="20"/>
              </w:rPr>
              <w:t>Severity (1–3)</w:t>
            </w:r>
          </w:p>
        </w:tc>
        <w:tc>
          <w:tcPr>
            <w:tcW w:w="3214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shd w:val="clear" w:color="auto" w:fill="2C2C2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F11F6D" w14:textId="77777777" w:rsidR="00F12905" w:rsidRDefault="00226A34">
            <w:r>
              <w:rPr>
                <w:b/>
                <w:bCs/>
                <w:color w:val="FFFFFF"/>
                <w:sz w:val="20"/>
                <w:szCs w:val="20"/>
              </w:rPr>
              <w:t>Risk Score (L × S)</w:t>
            </w:r>
          </w:p>
        </w:tc>
      </w:tr>
      <w:tr w:rsidR="00F12905" w14:paraId="51AD25D2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60B62AE" w14:textId="77777777" w:rsidR="00F12905" w:rsidRDefault="00226A34">
            <w:r>
              <w:rPr>
                <w:sz w:val="20"/>
                <w:szCs w:val="20"/>
              </w:rPr>
              <w:t>1 = Unlikely</w:t>
            </w:r>
          </w:p>
        </w:tc>
        <w:tc>
          <w:tcPr>
            <w:tcW w:w="3212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D57778" w14:textId="77777777" w:rsidR="00F12905" w:rsidRDefault="00226A34">
            <w:r>
              <w:rPr>
                <w:sz w:val="20"/>
                <w:szCs w:val="20"/>
              </w:rPr>
              <w:t>1 = Minor injury or disruption</w:t>
            </w:r>
          </w:p>
        </w:tc>
        <w:tc>
          <w:tcPr>
            <w:tcW w:w="3214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54EA4C" w14:textId="77777777" w:rsidR="00F12905" w:rsidRDefault="00226A34">
            <w:r>
              <w:rPr>
                <w:sz w:val="20"/>
                <w:szCs w:val="20"/>
              </w:rPr>
              <w:t>1–2 = Low risk</w:t>
            </w:r>
          </w:p>
        </w:tc>
      </w:tr>
      <w:tr w:rsidR="00F12905" w14:paraId="184F8843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shd w:val="clear" w:color="auto" w:fill="F5F4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90DCAD" w14:textId="77777777" w:rsidR="00F12905" w:rsidRDefault="00226A34">
            <w:r>
              <w:rPr>
                <w:sz w:val="20"/>
                <w:szCs w:val="20"/>
              </w:rPr>
              <w:t>2 = Possible</w:t>
            </w:r>
          </w:p>
        </w:tc>
        <w:tc>
          <w:tcPr>
            <w:tcW w:w="3212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shd w:val="clear" w:color="auto" w:fill="F5F4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6ECE90" w14:textId="77777777" w:rsidR="00F12905" w:rsidRDefault="00226A34">
            <w:r>
              <w:rPr>
                <w:sz w:val="20"/>
                <w:szCs w:val="20"/>
              </w:rPr>
              <w:t>2 = Moderate harm or disruption</w:t>
            </w:r>
          </w:p>
        </w:tc>
        <w:tc>
          <w:tcPr>
            <w:tcW w:w="3214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shd w:val="clear" w:color="auto" w:fill="F5F4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F72B94" w14:textId="77777777" w:rsidR="00F12905" w:rsidRDefault="00226A34">
            <w:r>
              <w:rPr>
                <w:sz w:val="20"/>
                <w:szCs w:val="20"/>
              </w:rPr>
              <w:t>3–4 = Medium risk — add controls</w:t>
            </w:r>
          </w:p>
        </w:tc>
      </w:tr>
      <w:tr w:rsidR="00F12905" w14:paraId="31CEF7CC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2B2E5C" w14:textId="77777777" w:rsidR="00F12905" w:rsidRDefault="00226A34">
            <w:r>
              <w:rPr>
                <w:sz w:val="20"/>
                <w:szCs w:val="20"/>
              </w:rPr>
              <w:t>3 = Likely</w:t>
            </w:r>
          </w:p>
        </w:tc>
        <w:tc>
          <w:tcPr>
            <w:tcW w:w="3212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9E45DB" w14:textId="77777777" w:rsidR="00F12905" w:rsidRDefault="00226A34">
            <w:r>
              <w:rPr>
                <w:sz w:val="20"/>
                <w:szCs w:val="20"/>
              </w:rPr>
              <w:t>3 = Serious harm or major disruption</w:t>
            </w:r>
          </w:p>
        </w:tc>
        <w:tc>
          <w:tcPr>
            <w:tcW w:w="3214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EAB281" w14:textId="77777777" w:rsidR="00F12905" w:rsidRDefault="00226A34">
            <w:r>
              <w:rPr>
                <w:sz w:val="20"/>
                <w:szCs w:val="20"/>
              </w:rPr>
              <w:t>6–9 = High risk — rethink the activity</w:t>
            </w:r>
          </w:p>
        </w:tc>
      </w:tr>
    </w:tbl>
    <w:p w14:paraId="6C052D64" w14:textId="77777777" w:rsidR="00F12905" w:rsidRDefault="00F12905">
      <w:pPr>
        <w:spacing w:after="60"/>
      </w:pPr>
    </w:p>
    <w:p w14:paraId="1DAB3ED4" w14:textId="77777777" w:rsidR="00F12905" w:rsidRDefault="00226A34">
      <w:pPr>
        <w:pStyle w:val="Heading2"/>
      </w:pPr>
      <w:r>
        <w:t>Step 4: Add control measures</w:t>
      </w:r>
    </w:p>
    <w:p w14:paraId="4D961B43" w14:textId="77777777" w:rsidR="00F12905" w:rsidRDefault="00226A34">
      <w:pPr>
        <w:spacing w:before="60" w:after="100"/>
      </w:pPr>
      <w:r>
        <w:t>For each hazard, describe what you'll do to reduce the risk. These are your 'control measures'.</w:t>
      </w:r>
    </w:p>
    <w:p w14:paraId="12A0C7CA" w14:textId="77777777" w:rsidR="00F12905" w:rsidRDefault="00226A34">
      <w:pPr>
        <w:spacing w:before="60" w:after="100"/>
      </w:pPr>
      <w:r>
        <w:t>Examples:</w:t>
      </w:r>
    </w:p>
    <w:p w14:paraId="3D1D39D2" w14:textId="77777777" w:rsidR="00F12905" w:rsidRDefault="00226A34">
      <w:pPr>
        <w:pStyle w:val="ListParagraph"/>
        <w:numPr>
          <w:ilvl w:val="0"/>
          <w:numId w:val="2"/>
        </w:numPr>
        <w:spacing w:before="40" w:after="40"/>
      </w:pPr>
      <w:r>
        <w:t>Hazard: Wet ground near outdoor stall → Control measure: Check forecast and move stall indoors if rain expected. Lay non-slip mat under table.</w:t>
      </w:r>
    </w:p>
    <w:p w14:paraId="253FF1ED" w14:textId="77777777" w:rsidR="00F12905" w:rsidRDefault="00226A34">
      <w:pPr>
        <w:pStyle w:val="ListParagraph"/>
        <w:numPr>
          <w:ilvl w:val="0"/>
          <w:numId w:val="2"/>
        </w:numPr>
        <w:spacing w:before="40" w:after="40"/>
      </w:pPr>
      <w:r>
        <w:t>Hazard: Large crowd causing congestion → Control measure: Position stall to allow clear flow of foot traffic. Designate 2 people to manage crowd.</w:t>
      </w:r>
    </w:p>
    <w:p w14:paraId="2130D343" w14:textId="77777777" w:rsidR="00F12905" w:rsidRDefault="00226A34">
      <w:pPr>
        <w:pStyle w:val="ListParagraph"/>
        <w:numPr>
          <w:ilvl w:val="0"/>
          <w:numId w:val="2"/>
        </w:numPr>
        <w:spacing w:before="40" w:after="40"/>
      </w:pPr>
      <w:r>
        <w:t>Hazard: Counter-protest or verbal confrontation → Control measure: Brief team on de-escalation. Have MDXSU staff contact number to hand. Remain calm and avoid confrontation.</w:t>
      </w:r>
    </w:p>
    <w:p w14:paraId="692573B9" w14:textId="77777777" w:rsidR="00F12905" w:rsidRDefault="00226A34">
      <w:pPr>
        <w:spacing w:before="60" w:after="100"/>
      </w:pPr>
      <w:r>
        <w:t>Aim to reduce every risk score to Low (1–2) through your control measures. If you can't get a high-risk hazard below a Medium score, contact MDXSU before proceeding.</w:t>
      </w:r>
    </w:p>
    <w:p w14:paraId="5CD57DDC" w14:textId="77777777" w:rsidR="00F12905" w:rsidRDefault="00F12905">
      <w:pPr>
        <w:spacing w:after="60"/>
      </w:pPr>
    </w:p>
    <w:p w14:paraId="054A5238" w14:textId="77777777" w:rsidR="00F12905" w:rsidRDefault="00226A34">
      <w:pPr>
        <w:pStyle w:val="Heading2"/>
      </w:pPr>
      <w:r>
        <w:t>Step 5: Assign a responsible person</w:t>
      </w:r>
    </w:p>
    <w:p w14:paraId="0F40D409" w14:textId="77777777" w:rsidR="00F12905" w:rsidRDefault="00226A34">
      <w:pPr>
        <w:spacing w:before="60" w:after="100"/>
      </w:pPr>
      <w:r>
        <w:t>For each hazard, name who is responsible for ensuring the control measures are in place. This is usually the Campaign Lead or a named team member.</w:t>
      </w:r>
    </w:p>
    <w:p w14:paraId="45131EC2" w14:textId="77777777" w:rsidR="00F12905" w:rsidRDefault="00F12905">
      <w:pPr>
        <w:spacing w:after="200"/>
      </w:pPr>
    </w:p>
    <w:p w14:paraId="098FC8E1" w14:textId="77777777" w:rsidR="00F12905" w:rsidRDefault="00F12905">
      <w:pPr>
        <w:pBdr>
          <w:bottom w:val="single" w:sz="6" w:space="1" w:color="C8102E"/>
        </w:pBdr>
        <w:spacing w:before="200" w:after="200"/>
      </w:pPr>
    </w:p>
    <w:p w14:paraId="6C1A0F64" w14:textId="77777777" w:rsidR="00F12905" w:rsidRDefault="00226A34">
      <w:pPr>
        <w:pStyle w:val="Heading1"/>
      </w:pPr>
      <w:r>
        <w:t>Worked Example</w:t>
      </w:r>
    </w:p>
    <w:p w14:paraId="3ECD5D40" w14:textId="77777777" w:rsidR="00F12905" w:rsidRDefault="00226A34">
      <w:pPr>
        <w:spacing w:before="60" w:after="100"/>
      </w:pPr>
      <w:r>
        <w:t>Below is an example of a completed row from the Risk Assessment Template, for a campaign stall on campus.</w:t>
      </w:r>
    </w:p>
    <w:p w14:paraId="677F25B5" w14:textId="77777777" w:rsidR="00F12905" w:rsidRDefault="00F12905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1472"/>
        <w:gridCol w:w="1100"/>
        <w:gridCol w:w="901"/>
        <w:gridCol w:w="1474"/>
        <w:gridCol w:w="3222"/>
      </w:tblGrid>
      <w:tr w:rsidR="00F12905" w14:paraId="14254F3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shd w:val="clear" w:color="auto" w:fill="C8102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D67935" w14:textId="77777777" w:rsidR="00F12905" w:rsidRDefault="00226A34">
            <w:r>
              <w:rPr>
                <w:b/>
                <w:bCs/>
                <w:color w:val="FFFFFF"/>
                <w:sz w:val="18"/>
                <w:szCs w:val="18"/>
              </w:rPr>
              <w:t>Hazard</w:t>
            </w:r>
          </w:p>
        </w:tc>
        <w:tc>
          <w:tcPr>
            <w:tcW w:w="1500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shd w:val="clear" w:color="auto" w:fill="C8102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F4A1AD" w14:textId="77777777" w:rsidR="00F12905" w:rsidRDefault="00226A34">
            <w:r>
              <w:rPr>
                <w:b/>
                <w:bCs/>
                <w:color w:val="FFFFFF"/>
                <w:sz w:val="18"/>
                <w:szCs w:val="18"/>
              </w:rPr>
              <w:t>Who is affected?</w:t>
            </w:r>
          </w:p>
        </w:tc>
        <w:tc>
          <w:tcPr>
            <w:tcW w:w="900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shd w:val="clear" w:color="auto" w:fill="C8102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EB1EE6" w14:textId="77777777" w:rsidR="00F12905" w:rsidRDefault="00226A34">
            <w:r>
              <w:rPr>
                <w:b/>
                <w:bCs/>
                <w:color w:val="FFFFFF"/>
                <w:sz w:val="18"/>
                <w:szCs w:val="18"/>
              </w:rPr>
              <w:t>Likelihood (1–3)</w:t>
            </w:r>
          </w:p>
        </w:tc>
        <w:tc>
          <w:tcPr>
            <w:tcW w:w="900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shd w:val="clear" w:color="auto" w:fill="C8102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0D281C" w14:textId="77777777" w:rsidR="00F12905" w:rsidRDefault="00226A34">
            <w:r>
              <w:rPr>
                <w:b/>
                <w:bCs/>
                <w:color w:val="FFFFFF"/>
                <w:sz w:val="18"/>
                <w:szCs w:val="18"/>
              </w:rPr>
              <w:t>Severity (1–3)</w:t>
            </w:r>
          </w:p>
        </w:tc>
        <w:tc>
          <w:tcPr>
            <w:tcW w:w="1500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shd w:val="clear" w:color="auto" w:fill="C8102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C889C0" w14:textId="77777777" w:rsidR="00F12905" w:rsidRDefault="00226A34">
            <w:r>
              <w:rPr>
                <w:b/>
                <w:bCs/>
                <w:color w:val="FFFFFF"/>
                <w:sz w:val="18"/>
                <w:szCs w:val="18"/>
              </w:rPr>
              <w:t>Control Measures</w:t>
            </w:r>
          </w:p>
        </w:tc>
        <w:tc>
          <w:tcPr>
            <w:tcW w:w="3338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shd w:val="clear" w:color="auto" w:fill="C8102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593A7A" w14:textId="77777777" w:rsidR="00F12905" w:rsidRDefault="00226A34">
            <w:r>
              <w:rPr>
                <w:b/>
                <w:bCs/>
                <w:color w:val="FFFFFF"/>
                <w:sz w:val="18"/>
                <w:szCs w:val="18"/>
              </w:rPr>
              <w:t>Responsible Person</w:t>
            </w:r>
          </w:p>
        </w:tc>
      </w:tr>
      <w:tr w:rsidR="00F12905" w14:paraId="1B343BC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5CA2E1" w14:textId="77777777" w:rsidR="00F12905" w:rsidRDefault="00226A34">
            <w:r>
              <w:rPr>
                <w:sz w:val="18"/>
                <w:szCs w:val="18"/>
              </w:rPr>
              <w:lastRenderedPageBreak/>
              <w:t>Stall table collapses</w:t>
            </w:r>
          </w:p>
        </w:tc>
        <w:tc>
          <w:tcPr>
            <w:tcW w:w="1500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E190E4" w14:textId="77777777" w:rsidR="00F12905" w:rsidRDefault="00226A34">
            <w:r>
              <w:rPr>
                <w:sz w:val="18"/>
                <w:szCs w:val="18"/>
              </w:rPr>
              <w:t>Students at stall</w:t>
            </w:r>
          </w:p>
        </w:tc>
        <w:tc>
          <w:tcPr>
            <w:tcW w:w="900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805E1C" w14:textId="77777777" w:rsidR="00F12905" w:rsidRDefault="00226A34">
            <w:r>
              <w:rPr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A7257F" w14:textId="77777777" w:rsidR="00F12905" w:rsidRDefault="00226A34">
            <w:r>
              <w:rPr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56645C" w14:textId="77777777" w:rsidR="00F12905" w:rsidRDefault="00226A34">
            <w:r>
              <w:rPr>
                <w:sz w:val="18"/>
                <w:szCs w:val="18"/>
              </w:rPr>
              <w:t>Ensure table is set up on flat ground and tested before opening. Secure all materials. Do not overload table.</w:t>
            </w:r>
          </w:p>
        </w:tc>
        <w:tc>
          <w:tcPr>
            <w:tcW w:w="3338" w:type="dxa"/>
            <w:tcBorders>
              <w:top w:val="single" w:sz="1" w:space="0" w:color="DEDBD5"/>
              <w:left w:val="single" w:sz="1" w:space="0" w:color="DEDBD5"/>
              <w:bottom w:val="single" w:sz="1" w:space="0" w:color="DEDBD5"/>
              <w:right w:val="single" w:sz="1" w:space="0" w:color="DEDBD5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54F47E" w14:textId="77777777" w:rsidR="00F12905" w:rsidRDefault="00226A34">
            <w:r>
              <w:rPr>
                <w:sz w:val="18"/>
                <w:szCs w:val="18"/>
              </w:rPr>
              <w:t>Campaign Lead — Alex Smith</w:t>
            </w:r>
          </w:p>
        </w:tc>
      </w:tr>
    </w:tbl>
    <w:p w14:paraId="3DE6D986" w14:textId="77777777" w:rsidR="00F12905" w:rsidRDefault="00F12905">
      <w:pPr>
        <w:spacing w:after="200"/>
      </w:pPr>
    </w:p>
    <w:p w14:paraId="5C33D068" w14:textId="77777777" w:rsidR="00F12905" w:rsidRDefault="00F12905">
      <w:pPr>
        <w:pBdr>
          <w:bottom w:val="single" w:sz="6" w:space="1" w:color="C8102E"/>
        </w:pBdr>
        <w:spacing w:before="200" w:after="200"/>
      </w:pPr>
    </w:p>
    <w:p w14:paraId="4ACF00BE" w14:textId="77777777" w:rsidR="00F12905" w:rsidRDefault="00226A34">
      <w:pPr>
        <w:pStyle w:val="Heading1"/>
      </w:pPr>
      <w:r>
        <w:t>Tips</w:t>
      </w:r>
    </w:p>
    <w:p w14:paraId="025C667F" w14:textId="77777777" w:rsidR="00F12905" w:rsidRDefault="00226A34">
      <w:pPr>
        <w:pStyle w:val="ListParagraph"/>
        <w:numPr>
          <w:ilvl w:val="0"/>
          <w:numId w:val="2"/>
        </w:numPr>
        <w:spacing w:before="40" w:after="40"/>
      </w:pPr>
      <w:r>
        <w:t>Do your risk assessment before the activity — don't leave it to the last minute.</w:t>
      </w:r>
    </w:p>
    <w:p w14:paraId="2DD4D813" w14:textId="77777777" w:rsidR="00F12905" w:rsidRDefault="00226A34">
      <w:pPr>
        <w:pStyle w:val="ListParagraph"/>
        <w:numPr>
          <w:ilvl w:val="0"/>
          <w:numId w:val="2"/>
        </w:numPr>
        <w:spacing w:before="40" w:after="40"/>
      </w:pPr>
      <w:r>
        <w:t>Think about the worst-case scenario for each hazard, not just the most likely outcome.</w:t>
      </w:r>
    </w:p>
    <w:p w14:paraId="597224C0" w14:textId="77777777" w:rsidR="00F12905" w:rsidRDefault="00226A34">
      <w:pPr>
        <w:pStyle w:val="ListParagraph"/>
        <w:numPr>
          <w:ilvl w:val="0"/>
          <w:numId w:val="2"/>
        </w:numPr>
        <w:spacing w:before="40" w:after="40"/>
      </w:pPr>
      <w:r>
        <w:t>Update your risk assessment if your plans change significantly.</w:t>
      </w:r>
    </w:p>
    <w:p w14:paraId="0AF8AE0C" w14:textId="77777777" w:rsidR="00F12905" w:rsidRDefault="00226A34">
      <w:pPr>
        <w:pStyle w:val="ListParagraph"/>
        <w:numPr>
          <w:ilvl w:val="0"/>
          <w:numId w:val="2"/>
        </w:numPr>
        <w:spacing w:before="40" w:after="40"/>
      </w:pPr>
      <w:r>
        <w:t>Keep a copy on the day of your activity in case you need to refer to it.</w:t>
      </w:r>
    </w:p>
    <w:p w14:paraId="0139C31A" w14:textId="77777777" w:rsidR="00F12905" w:rsidRDefault="00226A34">
      <w:pPr>
        <w:pStyle w:val="ListParagraph"/>
        <w:numPr>
          <w:ilvl w:val="0"/>
          <w:numId w:val="2"/>
        </w:numPr>
        <w:spacing w:before="40" w:after="40"/>
      </w:pPr>
      <w:r>
        <w:t>If you're unsure about anything, email studentvoice@mdx.ac.uk — we're here to help.</w:t>
      </w:r>
    </w:p>
    <w:p w14:paraId="1FFE6D87" w14:textId="77777777" w:rsidR="00F12905" w:rsidRDefault="00F12905">
      <w:pPr>
        <w:spacing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12905" w14:paraId="7CB78495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DEDBD5"/>
              <w:left w:val="single" w:sz="18" w:space="0" w:color="C8102E"/>
              <w:bottom w:val="single" w:sz="1" w:space="0" w:color="DEDBD5"/>
              <w:right w:val="none" w:sz="0" w:space="0" w:color="FFFFFF"/>
            </w:tcBorders>
            <w:shd w:val="clear" w:color="auto" w:fill="FDF5F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EBC868B" w14:textId="77777777" w:rsidR="00F12905" w:rsidRDefault="00226A34">
            <w:pPr>
              <w:spacing w:before="30" w:after="30"/>
            </w:pPr>
            <w:r>
              <w:rPr>
                <w:b/>
                <w:bCs/>
                <w:color w:val="9E0D24"/>
                <w:sz w:val="20"/>
                <w:szCs w:val="20"/>
              </w:rPr>
              <w:t>Submit your risk assessment to: studentvoice@mdx.ac.uk</w:t>
            </w:r>
          </w:p>
          <w:p w14:paraId="2182782C" w14:textId="77777777" w:rsidR="00F12905" w:rsidRDefault="00226A34">
            <w:pPr>
              <w:spacing w:before="30" w:after="30"/>
            </w:pPr>
            <w:r>
              <w:rPr>
                <w:color w:val="5A5A5A"/>
                <w:sz w:val="20"/>
                <w:szCs w:val="20"/>
              </w:rPr>
              <w:t>Please submit at least 5 working days before your activity.</w:t>
            </w:r>
          </w:p>
          <w:p w14:paraId="254900FC" w14:textId="77777777" w:rsidR="00F12905" w:rsidRDefault="00226A34">
            <w:pPr>
              <w:spacing w:before="30" w:after="30"/>
            </w:pPr>
            <w:r>
              <w:rPr>
                <w:color w:val="5A5A5A"/>
                <w:sz w:val="20"/>
                <w:szCs w:val="20"/>
              </w:rPr>
              <w:t>Use the Risk Assessment Template document alongside this guidance.</w:t>
            </w:r>
          </w:p>
        </w:tc>
      </w:tr>
    </w:tbl>
    <w:p w14:paraId="27663B72" w14:textId="77777777" w:rsidR="00226A34" w:rsidRDefault="00226A34"/>
    <w:sectPr w:rsidR="00226A34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2EA1"/>
    <w:multiLevelType w:val="hybridMultilevel"/>
    <w:tmpl w:val="0B4CAF96"/>
    <w:lvl w:ilvl="0" w:tplc="A7447DB0">
      <w:start w:val="1"/>
      <w:numFmt w:val="bullet"/>
      <w:lvlText w:val="•"/>
      <w:lvlJc w:val="left"/>
      <w:pPr>
        <w:ind w:left="720" w:hanging="360"/>
      </w:pPr>
    </w:lvl>
    <w:lvl w:ilvl="1" w:tplc="63BED278">
      <w:numFmt w:val="decimal"/>
      <w:lvlText w:val=""/>
      <w:lvlJc w:val="left"/>
    </w:lvl>
    <w:lvl w:ilvl="2" w:tplc="FB1610D0">
      <w:numFmt w:val="decimal"/>
      <w:lvlText w:val=""/>
      <w:lvlJc w:val="left"/>
    </w:lvl>
    <w:lvl w:ilvl="3" w:tplc="453A0D88">
      <w:numFmt w:val="decimal"/>
      <w:lvlText w:val=""/>
      <w:lvlJc w:val="left"/>
    </w:lvl>
    <w:lvl w:ilvl="4" w:tplc="8948F27A">
      <w:numFmt w:val="decimal"/>
      <w:lvlText w:val=""/>
      <w:lvlJc w:val="left"/>
    </w:lvl>
    <w:lvl w:ilvl="5" w:tplc="B8042518">
      <w:numFmt w:val="decimal"/>
      <w:lvlText w:val=""/>
      <w:lvlJc w:val="left"/>
    </w:lvl>
    <w:lvl w:ilvl="6" w:tplc="5A943BA0">
      <w:numFmt w:val="decimal"/>
      <w:lvlText w:val=""/>
      <w:lvlJc w:val="left"/>
    </w:lvl>
    <w:lvl w:ilvl="7" w:tplc="BA6A1EE6">
      <w:numFmt w:val="decimal"/>
      <w:lvlText w:val=""/>
      <w:lvlJc w:val="left"/>
    </w:lvl>
    <w:lvl w:ilvl="8" w:tplc="B2F62E1C">
      <w:numFmt w:val="decimal"/>
      <w:lvlText w:val=""/>
      <w:lvlJc w:val="left"/>
    </w:lvl>
  </w:abstractNum>
  <w:abstractNum w:abstractNumId="1" w15:restartNumberingAfterBreak="0">
    <w:nsid w:val="0EC55A93"/>
    <w:multiLevelType w:val="hybridMultilevel"/>
    <w:tmpl w:val="1F04291C"/>
    <w:lvl w:ilvl="0" w:tplc="87706838">
      <w:start w:val="1"/>
      <w:numFmt w:val="lowerLetter"/>
      <w:lvlText w:val="%1."/>
      <w:lvlJc w:val="left"/>
      <w:pPr>
        <w:ind w:left="720" w:hanging="360"/>
      </w:pPr>
    </w:lvl>
    <w:lvl w:ilvl="1" w:tplc="853A9FBC">
      <w:numFmt w:val="decimal"/>
      <w:lvlText w:val=""/>
      <w:lvlJc w:val="left"/>
    </w:lvl>
    <w:lvl w:ilvl="2" w:tplc="6A98B036">
      <w:numFmt w:val="decimal"/>
      <w:lvlText w:val=""/>
      <w:lvlJc w:val="left"/>
    </w:lvl>
    <w:lvl w:ilvl="3" w:tplc="80A6DF8C">
      <w:numFmt w:val="decimal"/>
      <w:lvlText w:val=""/>
      <w:lvlJc w:val="left"/>
    </w:lvl>
    <w:lvl w:ilvl="4" w:tplc="AFE68820">
      <w:numFmt w:val="decimal"/>
      <w:lvlText w:val=""/>
      <w:lvlJc w:val="left"/>
    </w:lvl>
    <w:lvl w:ilvl="5" w:tplc="A84C0572">
      <w:numFmt w:val="decimal"/>
      <w:lvlText w:val=""/>
      <w:lvlJc w:val="left"/>
    </w:lvl>
    <w:lvl w:ilvl="6" w:tplc="690EC768">
      <w:numFmt w:val="decimal"/>
      <w:lvlText w:val=""/>
      <w:lvlJc w:val="left"/>
    </w:lvl>
    <w:lvl w:ilvl="7" w:tplc="66A40634">
      <w:numFmt w:val="decimal"/>
      <w:lvlText w:val=""/>
      <w:lvlJc w:val="left"/>
    </w:lvl>
    <w:lvl w:ilvl="8" w:tplc="38F801F0">
      <w:numFmt w:val="decimal"/>
      <w:lvlText w:val=""/>
      <w:lvlJc w:val="left"/>
    </w:lvl>
  </w:abstractNum>
  <w:abstractNum w:abstractNumId="2" w15:restartNumberingAfterBreak="0">
    <w:nsid w:val="316B1147"/>
    <w:multiLevelType w:val="hybridMultilevel"/>
    <w:tmpl w:val="2984114E"/>
    <w:lvl w:ilvl="0" w:tplc="30024584">
      <w:start w:val="1"/>
      <w:numFmt w:val="decimal"/>
      <w:lvlText w:val="%1."/>
      <w:lvlJc w:val="left"/>
      <w:pPr>
        <w:ind w:left="720" w:hanging="360"/>
      </w:pPr>
    </w:lvl>
    <w:lvl w:ilvl="1" w:tplc="2EBA0298">
      <w:numFmt w:val="decimal"/>
      <w:lvlText w:val=""/>
      <w:lvlJc w:val="left"/>
    </w:lvl>
    <w:lvl w:ilvl="2" w:tplc="E2D6CC3A">
      <w:numFmt w:val="decimal"/>
      <w:lvlText w:val=""/>
      <w:lvlJc w:val="left"/>
    </w:lvl>
    <w:lvl w:ilvl="3" w:tplc="7A220852">
      <w:numFmt w:val="decimal"/>
      <w:lvlText w:val=""/>
      <w:lvlJc w:val="left"/>
    </w:lvl>
    <w:lvl w:ilvl="4" w:tplc="6B643BBA">
      <w:numFmt w:val="decimal"/>
      <w:lvlText w:val=""/>
      <w:lvlJc w:val="left"/>
    </w:lvl>
    <w:lvl w:ilvl="5" w:tplc="B7B88162">
      <w:numFmt w:val="decimal"/>
      <w:lvlText w:val=""/>
      <w:lvlJc w:val="left"/>
    </w:lvl>
    <w:lvl w:ilvl="6" w:tplc="EEFE0A30">
      <w:numFmt w:val="decimal"/>
      <w:lvlText w:val=""/>
      <w:lvlJc w:val="left"/>
    </w:lvl>
    <w:lvl w:ilvl="7" w:tplc="5208550C">
      <w:numFmt w:val="decimal"/>
      <w:lvlText w:val=""/>
      <w:lvlJc w:val="left"/>
    </w:lvl>
    <w:lvl w:ilvl="8" w:tplc="23A28AD8">
      <w:numFmt w:val="decimal"/>
      <w:lvlText w:val=""/>
      <w:lvlJc w:val="left"/>
    </w:lvl>
  </w:abstractNum>
  <w:abstractNum w:abstractNumId="3" w15:restartNumberingAfterBreak="0">
    <w:nsid w:val="4F315E9B"/>
    <w:multiLevelType w:val="hybridMultilevel"/>
    <w:tmpl w:val="49CA1DE2"/>
    <w:lvl w:ilvl="0" w:tplc="AC081D4E">
      <w:start w:val="1"/>
      <w:numFmt w:val="bullet"/>
      <w:lvlText w:val="●"/>
      <w:lvlJc w:val="left"/>
      <w:pPr>
        <w:ind w:left="720" w:hanging="360"/>
      </w:pPr>
    </w:lvl>
    <w:lvl w:ilvl="1" w:tplc="B508A896">
      <w:start w:val="1"/>
      <w:numFmt w:val="bullet"/>
      <w:lvlText w:val="○"/>
      <w:lvlJc w:val="left"/>
      <w:pPr>
        <w:ind w:left="1440" w:hanging="360"/>
      </w:pPr>
    </w:lvl>
    <w:lvl w:ilvl="2" w:tplc="F9BAF9A2">
      <w:start w:val="1"/>
      <w:numFmt w:val="bullet"/>
      <w:lvlText w:val="■"/>
      <w:lvlJc w:val="left"/>
      <w:pPr>
        <w:ind w:left="2160" w:hanging="360"/>
      </w:pPr>
    </w:lvl>
    <w:lvl w:ilvl="3" w:tplc="648A9FBC">
      <w:start w:val="1"/>
      <w:numFmt w:val="bullet"/>
      <w:lvlText w:val="●"/>
      <w:lvlJc w:val="left"/>
      <w:pPr>
        <w:ind w:left="2880" w:hanging="360"/>
      </w:pPr>
    </w:lvl>
    <w:lvl w:ilvl="4" w:tplc="A106DA2A">
      <w:start w:val="1"/>
      <w:numFmt w:val="bullet"/>
      <w:lvlText w:val="○"/>
      <w:lvlJc w:val="left"/>
      <w:pPr>
        <w:ind w:left="3600" w:hanging="360"/>
      </w:pPr>
    </w:lvl>
    <w:lvl w:ilvl="5" w:tplc="30467CA6">
      <w:start w:val="1"/>
      <w:numFmt w:val="bullet"/>
      <w:lvlText w:val="■"/>
      <w:lvlJc w:val="left"/>
      <w:pPr>
        <w:ind w:left="4320" w:hanging="360"/>
      </w:pPr>
    </w:lvl>
    <w:lvl w:ilvl="6" w:tplc="727EC596">
      <w:start w:val="1"/>
      <w:numFmt w:val="bullet"/>
      <w:lvlText w:val="●"/>
      <w:lvlJc w:val="left"/>
      <w:pPr>
        <w:ind w:left="5040" w:hanging="360"/>
      </w:pPr>
    </w:lvl>
    <w:lvl w:ilvl="7" w:tplc="911EA4EE">
      <w:start w:val="1"/>
      <w:numFmt w:val="bullet"/>
      <w:lvlText w:val="●"/>
      <w:lvlJc w:val="left"/>
      <w:pPr>
        <w:ind w:left="5760" w:hanging="360"/>
      </w:pPr>
    </w:lvl>
    <w:lvl w:ilvl="8" w:tplc="C7187260">
      <w:start w:val="1"/>
      <w:numFmt w:val="bullet"/>
      <w:lvlText w:val="●"/>
      <w:lvlJc w:val="left"/>
      <w:pPr>
        <w:ind w:left="6480" w:hanging="360"/>
      </w:pPr>
    </w:lvl>
  </w:abstractNum>
  <w:num w:numId="1" w16cid:durableId="1087308526">
    <w:abstractNumId w:val="3"/>
    <w:lvlOverride w:ilvl="0">
      <w:startOverride w:val="1"/>
    </w:lvlOverride>
  </w:num>
  <w:num w:numId="2" w16cid:durableId="11598131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905"/>
    <w:rsid w:val="00226A34"/>
    <w:rsid w:val="005F6B7A"/>
    <w:rsid w:val="009070E6"/>
    <w:rsid w:val="00C6360B"/>
    <w:rsid w:val="00F1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B2BD4"/>
  <w15:docId w15:val="{FB624CB4-79A0-4863-ABF8-A24F4BCE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60"/>
      <w:outlineLvl w:val="0"/>
    </w:pPr>
    <w:rPr>
      <w:b/>
      <w:bCs/>
      <w:color w:val="C8102E"/>
      <w:sz w:val="40"/>
      <w:szCs w:val="40"/>
    </w:rPr>
  </w:style>
  <w:style w:type="paragraph" w:styleId="Heading2">
    <w:name w:val="heading 2"/>
    <w:uiPriority w:val="9"/>
    <w:unhideWhenUsed/>
    <w:qFormat/>
    <w:pPr>
      <w:spacing w:before="280" w:after="100"/>
      <w:outlineLvl w:val="1"/>
    </w:pPr>
    <w:rPr>
      <w:b/>
      <w:bCs/>
      <w:sz w:val="30"/>
      <w:szCs w:val="30"/>
    </w:rPr>
  </w:style>
  <w:style w:type="paragraph" w:styleId="Heading3">
    <w:name w:val="heading 3"/>
    <w:uiPriority w:val="9"/>
    <w:semiHidden/>
    <w:unhideWhenUsed/>
    <w:qFormat/>
    <w:pPr>
      <w:spacing w:before="220" w:after="80"/>
      <w:outlineLvl w:val="2"/>
    </w:pPr>
    <w:rPr>
      <w:b/>
      <w:bCs/>
      <w:color w:val="C8102E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679</Words>
  <Characters>3876</Characters>
  <Application>Microsoft Office Word</Application>
  <DocSecurity>0</DocSecurity>
  <Lines>32</Lines>
  <Paragraphs>9</Paragraphs>
  <ScaleCrop>false</ScaleCrop>
  <Company>Middlesex University London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Sharanya Sivarajah</cp:lastModifiedBy>
  <cp:revision>3</cp:revision>
  <dcterms:created xsi:type="dcterms:W3CDTF">2026-04-10T11:36:00Z</dcterms:created>
  <dcterms:modified xsi:type="dcterms:W3CDTF">2026-04-10T11:37:00Z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807aa85b-c641-4d2a-8808-c64b1f4de4be</vt:lpwstr>
  </property>
</Properties>
</file>